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Bulk Email Marketing &amp; Corporate Email Services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Campaign Capabilities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Target Database: </w:t>
      </w:r>
      <w:r>
        <w:rPr>
          <w:rFonts w:ascii="Arial" w:hAnsi="Arial"/>
          <w:color w:val="1F2937"/>
          <w:sz w:val="20"/>
        </w:rPr>
        <w:t>Targeted databases across Corporate Executives, Business Owners, Online Shoppers, and Students in BD.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Custom HTML Design: </w:t>
      </w:r>
      <w:r>
        <w:rPr>
          <w:rFonts w:ascii="Arial" w:hAnsi="Arial"/>
          <w:color w:val="1F2937"/>
          <w:sz w:val="20"/>
        </w:rPr>
        <w:t>Responsive HTML email newsletter design included.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High Delivery Rate: </w:t>
      </w:r>
      <w:r>
        <w:rPr>
          <w:rFonts w:ascii="Arial" w:hAnsi="Arial"/>
          <w:color w:val="1F2937"/>
          <w:sz w:val="20"/>
        </w:rPr>
        <w:t>Dedicated SMTP servers ensuring maximum inbox deliverability rates.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Analytics Dashboard: </w:t>
      </w:r>
      <w:r>
        <w:rPr>
          <w:rFonts w:ascii="Arial" w:hAnsi="Arial"/>
          <w:color w:val="1F2937"/>
          <w:sz w:val="20"/>
        </w:rPr>
        <w:t>Detailed reports showing open rate, click-through rate, and bounces.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Campaign Pricing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Email Volume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HTML Template Design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Target Database Included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100,000 Emails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Included (1 Template)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Yes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5,000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500,000 Emails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Included (2 Templates)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Yes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18,000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1,000,000 Emails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Included (3 Templates)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Yes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30,000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